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B022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Vertraulichkeitserklärung</w:t>
      </w:r>
    </w:p>
    <w:p w14:paraId="5543D41A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der</w:t>
      </w:r>
    </w:p>
    <w:p w14:paraId="262CDBCA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(Name und Adresse des Unternehmens)</w:t>
      </w:r>
    </w:p>
    <w:p w14:paraId="21F88EE7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………………………………………………………………….</w:t>
      </w:r>
    </w:p>
    <w:p w14:paraId="578F0870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………………………………………………………………….</w:t>
      </w:r>
    </w:p>
    <w:p w14:paraId="25438655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………………………………………………………………….</w:t>
      </w:r>
    </w:p>
    <w:p w14:paraId="2A8535F5" w14:textId="7777777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- nachfolgend „Unternehmen“ genannt -</w:t>
      </w:r>
    </w:p>
    <w:p w14:paraId="5373D1FE" w14:textId="26F10641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gegenüber de</w:t>
      </w:r>
      <w:r w:rsidR="00F25DB0">
        <w:rPr>
          <w:rFonts w:ascii="Arial-BoldMT" w:hAnsi="Arial-BoldMT" w:cs="Arial-BoldMT"/>
          <w:b/>
          <w:bCs/>
          <w:kern w:val="0"/>
        </w:rPr>
        <w:t>m</w:t>
      </w:r>
    </w:p>
    <w:p w14:paraId="1D4BDCE2" w14:textId="443CE25C" w:rsidR="00A3785E" w:rsidRDefault="00F25DB0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Markt </w:t>
      </w:r>
      <w:r w:rsidRPr="00F25DB0">
        <w:rPr>
          <w:rFonts w:ascii="Arial-BoldMT" w:hAnsi="Arial-BoldMT" w:cs="Arial-BoldMT"/>
          <w:b/>
          <w:bCs/>
          <w:kern w:val="0"/>
        </w:rPr>
        <w:t>Zell a. Main</w:t>
      </w:r>
    </w:p>
    <w:p w14:paraId="02659B41" w14:textId="24F4F877" w:rsidR="00A3785E" w:rsidRDefault="00F25DB0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Rathaus</w:t>
      </w:r>
      <w:r w:rsidR="00A3785E">
        <w:rPr>
          <w:rFonts w:ascii="Arial-BoldMT" w:hAnsi="Arial-BoldMT" w:cs="Arial-BoldMT"/>
          <w:b/>
          <w:bCs/>
          <w:kern w:val="0"/>
        </w:rPr>
        <w:t xml:space="preserve">platz </w:t>
      </w:r>
      <w:r>
        <w:rPr>
          <w:rFonts w:ascii="Arial-BoldMT" w:hAnsi="Arial-BoldMT" w:cs="Arial-BoldMT"/>
          <w:b/>
          <w:bCs/>
          <w:kern w:val="0"/>
        </w:rPr>
        <w:t>8</w:t>
      </w:r>
    </w:p>
    <w:p w14:paraId="0F01B53A" w14:textId="41A10331" w:rsidR="00A3785E" w:rsidRDefault="00F25DB0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97299</w:t>
      </w:r>
      <w:r w:rsidR="00A3785E">
        <w:rPr>
          <w:rFonts w:ascii="Arial-BoldMT" w:hAnsi="Arial-BoldMT" w:cs="Arial-BoldMT"/>
          <w:b/>
          <w:bCs/>
          <w:kern w:val="0"/>
        </w:rPr>
        <w:t xml:space="preserve"> </w:t>
      </w:r>
      <w:r w:rsidRPr="00F25DB0">
        <w:rPr>
          <w:rFonts w:ascii="Arial-BoldMT" w:hAnsi="Arial-BoldMT" w:cs="Arial-BoldMT"/>
          <w:b/>
          <w:bCs/>
          <w:kern w:val="0"/>
        </w:rPr>
        <w:t>Zell a. Main</w:t>
      </w:r>
    </w:p>
    <w:p w14:paraId="4F9236C8" w14:textId="375BA917" w:rsidR="00A3785E" w:rsidRDefault="00A3785E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- nachfolgend „</w:t>
      </w:r>
      <w:r w:rsidR="00F25DB0">
        <w:rPr>
          <w:rFonts w:ascii="Arial-BoldMT" w:hAnsi="Arial-BoldMT" w:cs="Arial-BoldMT"/>
          <w:b/>
          <w:bCs/>
          <w:kern w:val="0"/>
        </w:rPr>
        <w:t>Gemeinde</w:t>
      </w:r>
      <w:r>
        <w:rPr>
          <w:rFonts w:ascii="Arial-BoldMT" w:hAnsi="Arial-BoldMT" w:cs="Arial-BoldMT"/>
          <w:b/>
          <w:bCs/>
          <w:kern w:val="0"/>
        </w:rPr>
        <w:t xml:space="preserve">“ genannt </w:t>
      </w:r>
      <w:r w:rsidR="00F25DB0">
        <w:rPr>
          <w:rFonts w:ascii="Arial-BoldMT" w:hAnsi="Arial-BoldMT" w:cs="Arial-BoldMT"/>
          <w:b/>
          <w:bCs/>
          <w:kern w:val="0"/>
        </w:rPr>
        <w:t>–</w:t>
      </w:r>
    </w:p>
    <w:p w14:paraId="0ED7827E" w14:textId="77777777" w:rsidR="00F25DB0" w:rsidRDefault="00F25DB0" w:rsidP="00F25DB0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kern w:val="0"/>
        </w:rPr>
      </w:pPr>
    </w:p>
    <w:p w14:paraId="0C37E719" w14:textId="2A60206B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 xml:space="preserve">Die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beabsichtigt, ihren mit Ablauf des 31.12.2025 endenden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Gaskonzessionsvertrag neu auszuschreiben. Sie wird interessierten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Energieversorgungsunternehmen diejenigen Informationen über die technische und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wirtschaftliche Situation des Netzes zur Verfügung stellen, die sie von der Stadtwerke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Würzburg</w:t>
      </w:r>
      <w:r>
        <w:rPr>
          <w:rFonts w:ascii="ArialMT" w:hAnsi="ArialMT" w:cs="ArialMT"/>
          <w:kern w:val="0"/>
          <w:sz w:val="22"/>
          <w:szCs w:val="22"/>
        </w:rPr>
        <w:t xml:space="preserve"> </w:t>
      </w:r>
      <w:r w:rsidR="00F25DB0">
        <w:rPr>
          <w:rFonts w:ascii="ArialMT" w:hAnsi="ArialMT" w:cs="ArialMT"/>
          <w:kern w:val="0"/>
          <w:sz w:val="22"/>
          <w:szCs w:val="22"/>
        </w:rPr>
        <w:t>AG</w:t>
      </w:r>
      <w:r>
        <w:rPr>
          <w:rFonts w:ascii="ArialMT" w:hAnsi="ArialMT" w:cs="ArialMT"/>
          <w:kern w:val="0"/>
          <w:sz w:val="22"/>
          <w:szCs w:val="22"/>
        </w:rPr>
        <w:t xml:space="preserve"> als derzeitigem Konzessionsnehmer nach § 46a EnWG erhalten hat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(nachfolgend: „Netzdaten“). Die Netzdaten stellen Betriebs- und Geschäftsgeheimnisse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der Stadtwerke </w:t>
      </w:r>
      <w:r w:rsidR="00F25DB0">
        <w:rPr>
          <w:rFonts w:ascii="ArialMT" w:hAnsi="ArialMT" w:cs="ArialMT"/>
          <w:kern w:val="0"/>
          <w:sz w:val="22"/>
          <w:szCs w:val="22"/>
        </w:rPr>
        <w:t>Würzburg</w:t>
      </w:r>
      <w:r>
        <w:rPr>
          <w:rFonts w:ascii="ArialMT" w:hAnsi="ArialMT" w:cs="ArialMT"/>
          <w:kern w:val="0"/>
          <w:sz w:val="22"/>
          <w:szCs w:val="22"/>
        </w:rPr>
        <w:t xml:space="preserve"> </w:t>
      </w:r>
      <w:r w:rsidR="00F25DB0">
        <w:rPr>
          <w:rFonts w:ascii="ArialMT" w:hAnsi="ArialMT" w:cs="ArialMT"/>
          <w:kern w:val="0"/>
          <w:sz w:val="22"/>
          <w:szCs w:val="22"/>
        </w:rPr>
        <w:t>AG</w:t>
      </w:r>
      <w:r>
        <w:rPr>
          <w:rFonts w:ascii="ArialMT" w:hAnsi="ArialMT" w:cs="ArialMT"/>
          <w:kern w:val="0"/>
          <w:sz w:val="22"/>
          <w:szCs w:val="22"/>
        </w:rPr>
        <w:t xml:space="preserve"> dar. Zum Schutz berechtigter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Geheimhaltungsinteressen der Stadtwerke </w:t>
      </w:r>
      <w:r w:rsidR="00F25DB0">
        <w:rPr>
          <w:rFonts w:ascii="ArialMT" w:hAnsi="ArialMT" w:cs="ArialMT"/>
          <w:kern w:val="0"/>
          <w:sz w:val="22"/>
          <w:szCs w:val="22"/>
        </w:rPr>
        <w:t>Würzburg</w:t>
      </w:r>
      <w:r>
        <w:rPr>
          <w:rFonts w:ascii="ArialMT" w:hAnsi="ArialMT" w:cs="ArialMT"/>
          <w:kern w:val="0"/>
          <w:sz w:val="22"/>
          <w:szCs w:val="22"/>
        </w:rPr>
        <w:t xml:space="preserve"> </w:t>
      </w:r>
      <w:r w:rsidR="00F25DB0">
        <w:rPr>
          <w:rFonts w:ascii="ArialMT" w:hAnsi="ArialMT" w:cs="ArialMT"/>
          <w:kern w:val="0"/>
          <w:sz w:val="22"/>
          <w:szCs w:val="22"/>
        </w:rPr>
        <w:t>AG</w:t>
      </w:r>
      <w:r>
        <w:rPr>
          <w:rFonts w:ascii="ArialMT" w:hAnsi="ArialMT" w:cs="ArialMT"/>
          <w:kern w:val="0"/>
          <w:sz w:val="22"/>
          <w:szCs w:val="22"/>
        </w:rPr>
        <w:t xml:space="preserve"> erklärt das Unternehmen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Folgendes:</w:t>
      </w:r>
    </w:p>
    <w:p w14:paraId="565A8AB1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7F97267B" w14:textId="14CC0FCD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(1) Das Unternehmen verpflichtet sich, die erhaltenen Netzdaten vertraulich zu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behandeln, insbesondere Dritten nicht zugänglich zu machen und ausschließlich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für die Prüfung, ob es sich am Auswahlverfahren der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nach § 46 Abs. 3ff.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EnWG zum Abschluss eines Gaskonzessionsvertrages beteiligen möchte und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ggf. zur Ausarbeitung entsprechender Angebotsunterlagen sowie im Rahmen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etwaiger das Auswahlverfahren betreffender behördlicher oder gerichtlicher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Rechtsschutzverfahren zu verwenden.</w:t>
      </w:r>
    </w:p>
    <w:p w14:paraId="1BB03916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40B98A6A" w14:textId="2E7F2E2A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(2) Überlassene Netzdaten gelten nicht als vertraulich im Sinne dieser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Vertraulichkeitsverpflichtung, soweit sie</w:t>
      </w:r>
    </w:p>
    <w:p w14:paraId="7001FC5A" w14:textId="4BECAA7A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a) im Zeitpunkt der Mitteilung oder danach, ohne gegen diese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Vertraulichkeitsverpflichtung zu verstoßen, allgemein bekannt sind oder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werden oder</w:t>
      </w:r>
    </w:p>
    <w:p w14:paraId="4EC8919D" w14:textId="43095050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b) dem Unternehmen ohne gegen diese Vertraulichkeitsverpflichtung zu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verstoßen zugänglich sind oder waren.</w:t>
      </w:r>
    </w:p>
    <w:p w14:paraId="56645190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63F89670" w14:textId="633DAB28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lastRenderedPageBreak/>
        <w:t xml:space="preserve">(3) Diese Vertraulichkeitsverpflichtung beinhaltet weder eine Verpflichtung der 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Gemeinde </w:t>
      </w:r>
      <w:r>
        <w:rPr>
          <w:rFonts w:ascii="ArialMT" w:hAnsi="ArialMT" w:cs="ArialMT"/>
          <w:kern w:val="0"/>
          <w:sz w:val="22"/>
          <w:szCs w:val="22"/>
        </w:rPr>
        <w:t>zum Abschluss weitergehender Verträge noch zur Offenlegung bestimmter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Informationen.</w:t>
      </w:r>
    </w:p>
    <w:p w14:paraId="48D83934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33AEB55A" w14:textId="77777777" w:rsidR="00F25DB0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(4) Das Unternehmen ist berechtigt, die Netzdaten an seine Mitarbeiter und Gremien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weiterzugeben, soweit diese mit dem Konzessionsvergabeverfahren befasst und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zur vertraulichen Behandlung der Informationen verpflichtet sind. Darüber hinaus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dürfen die Netzdaten nur solchen Beratern zugänglich gemacht werden, die von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Gesetzes wegen einer beruflichen Verschwiegenheitspflicht unterliegen und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hinsichtlich der dem Unternehmen überlassenen Netzdaten daran gebunden sind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oder die entsprechend dieser Vertraulichkeitserklärung zur Verschwiegenheit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verpflichtet sind. Das Unternehmen haftet für das Verhalten seiner Mitarbeiter,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Erfüllungs- und Verrichtungsgehilfen, ohne berechtigt zu sein, den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Entlastungsbeweis nach § 831 Abs. 1 Satz 2 BGB zu führen.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</w:p>
    <w:p w14:paraId="7546EB54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6E0C0346" w14:textId="2E055BFF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(5) Die Pflicht zur Vertraulichkeit besteht nicht, wenn und soweit das Unternehmen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aufgrund eines Gesetzes oder einer behördlichen oder gerichtlichen Anordnung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verpflichtet ist, eine dieser Vertraulichkeitsverpflichtung unterliegende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Information einer staatlichen, behördlichen oder sonstigen Stelle offen zu legen.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In diesem Fall verpflichtet sich das Unternehmen, die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unmittelbar nach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Kenntniserlangung der Offenlegungspflicht hierüber zu informieren.</w:t>
      </w:r>
    </w:p>
    <w:p w14:paraId="0AC31044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1C5FECD9" w14:textId="46D5A294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(6) Das Unternehmen ist verpflichtet, die ihm überlassenen Netzdaten zu vernichten,</w:t>
      </w:r>
      <w:r w:rsidR="00F25DB0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sobald es kein berechtigtes Interesse an deren Besitz mehr hat, spätestens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innerhalb eines Monats nach berechtigter Aufforderung durch die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in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Textform. Das Unternehmen hat die Datenvernichtung gegenüber der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in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geeigneter Form nachzuweisen. Die Verpflichtung zur Vertraulichkeit nach dieser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Vertraulichkeitsverpflichtung besteht bis zur Vernichtung der Daten nach Satz 1.</w:t>
      </w:r>
    </w:p>
    <w:p w14:paraId="5CF8F798" w14:textId="77777777" w:rsidR="008847AD" w:rsidRDefault="008847A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5CD292D6" w14:textId="587654B7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(7) Das Unternehmen beachtet die jeweils geltenden datenschutzrechtlichen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Vorschriften.</w:t>
      </w:r>
    </w:p>
    <w:p w14:paraId="70131D12" w14:textId="77777777" w:rsidR="008847AD" w:rsidRDefault="008847A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3D6A14E5" w14:textId="5D245716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(8) Dem Unternehmen ist bekannt, dass die Verletzung von Betriebs- und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Geschäftsgeheimnissen nach § 23 </w:t>
      </w:r>
      <w:proofErr w:type="spellStart"/>
      <w:r>
        <w:rPr>
          <w:rFonts w:ascii="ArialMT" w:hAnsi="ArialMT" w:cs="ArialMT"/>
          <w:kern w:val="0"/>
          <w:sz w:val="22"/>
          <w:szCs w:val="22"/>
        </w:rPr>
        <w:t>GeschGehG</w:t>
      </w:r>
      <w:proofErr w:type="spellEnd"/>
      <w:r>
        <w:rPr>
          <w:rFonts w:ascii="ArialMT" w:hAnsi="ArialMT" w:cs="ArialMT"/>
          <w:kern w:val="0"/>
          <w:sz w:val="22"/>
          <w:szCs w:val="22"/>
        </w:rPr>
        <w:t xml:space="preserve"> strafbar ist und mit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Freiheitsstrafe von bis zu fünf Jahren geahndet werden kann und zum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Schadensersatz nach § 10 </w:t>
      </w:r>
      <w:proofErr w:type="spellStart"/>
      <w:r>
        <w:rPr>
          <w:rFonts w:ascii="ArialMT" w:hAnsi="ArialMT" w:cs="ArialMT"/>
          <w:kern w:val="0"/>
          <w:sz w:val="22"/>
          <w:szCs w:val="22"/>
        </w:rPr>
        <w:t>GeschGehG</w:t>
      </w:r>
      <w:proofErr w:type="spellEnd"/>
      <w:r>
        <w:rPr>
          <w:rFonts w:ascii="ArialMT" w:hAnsi="ArialMT" w:cs="ArialMT"/>
          <w:kern w:val="0"/>
          <w:sz w:val="22"/>
          <w:szCs w:val="22"/>
        </w:rPr>
        <w:t xml:space="preserve"> verpflichtet.</w:t>
      </w:r>
    </w:p>
    <w:p w14:paraId="36CC8036" w14:textId="77777777" w:rsidR="008847AD" w:rsidRDefault="008847A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09C3C272" w14:textId="0EA26F01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(9) Sollte das Unternehmen gegen die in dieser Vertraulichkeitsverpflichtung</w:t>
      </w:r>
      <w:r w:rsidR="008847A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begründeten Geheimhaltungspflichten oder gegen die Einhaltung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datenschutzrechtlicher Bestimmungen verstoßen, so haftet es sowohl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gegenüber der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als auch gegenüber dem derzeitigen Konzessionsnehmer,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soweit dieser der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die betreffenden Daten zur Verfügung </w:t>
      </w:r>
      <w:r>
        <w:rPr>
          <w:rFonts w:ascii="ArialMT" w:hAnsi="ArialMT" w:cs="ArialMT"/>
          <w:kern w:val="0"/>
          <w:sz w:val="22"/>
          <w:szCs w:val="22"/>
        </w:rPr>
        <w:lastRenderedPageBreak/>
        <w:t>gestellt hat, nach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den gesetzlichen Vorschriften, soweit in dieser Vertraulichkeitsverpflichtung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nichts anderes geregelt ist.</w:t>
      </w:r>
    </w:p>
    <w:p w14:paraId="10BB0F18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3610CD79" w14:textId="77777777" w:rsidR="0059497D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(10) Eine wenigstens fahrlässige Verletzung der Geheimhaltungspflicht durch das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Unternehmen wird vermutet, wenn die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 xml:space="preserve"> den Nachweis erbringen kann, dass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vertrauliche Informationen aus der Sphäre des Unternehmens oder eines mit ihm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verbundenen Unternehmens in die eines Dritten gelangt sind. Das Unternehmen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ist berechtigt, den Gegenbeweis zu führen.</w:t>
      </w:r>
    </w:p>
    <w:p w14:paraId="5B94AF27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25A10F90" w14:textId="657A9CE9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(11) Für jeden Einzelfall eines Verstoßes gegen eine der vorstehend genannten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Verpflichtungen durch das Unternehmen wird eine Vertragsstrafe in Höhe von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10.000,00 Euro je Zuwiderhandlung unter Ausschluss des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Fortsetzungszusammenhangs sofort zur Zahlung an die Stadtwerke </w:t>
      </w:r>
      <w:r w:rsidR="00F25DB0">
        <w:rPr>
          <w:rFonts w:ascii="ArialMT" w:hAnsi="ArialMT" w:cs="ArialMT"/>
          <w:kern w:val="0"/>
          <w:sz w:val="22"/>
          <w:szCs w:val="22"/>
        </w:rPr>
        <w:t>Würzburg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 w:rsidR="00F25DB0">
        <w:rPr>
          <w:rFonts w:ascii="ArialMT" w:hAnsi="ArialMT" w:cs="ArialMT"/>
          <w:kern w:val="0"/>
          <w:sz w:val="22"/>
          <w:szCs w:val="22"/>
        </w:rPr>
        <w:t>AG</w:t>
      </w:r>
      <w:r>
        <w:rPr>
          <w:rFonts w:ascii="ArialMT" w:hAnsi="ArialMT" w:cs="ArialMT"/>
          <w:kern w:val="0"/>
          <w:sz w:val="22"/>
          <w:szCs w:val="22"/>
        </w:rPr>
        <w:t>, die aus dieser Vereinbarung unmittelbar berechtigt wird (§ 328 BGB),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f</w:t>
      </w:r>
      <w:r>
        <w:rPr>
          <w:rFonts w:ascii="ArialMT" w:hAnsi="ArialMT" w:cs="ArialMT"/>
          <w:kern w:val="0"/>
          <w:sz w:val="22"/>
          <w:szCs w:val="22"/>
        </w:rPr>
        <w:t>ällig. Die Geltendmachung von Schadenersatzansprüchen neben der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Vertragsstrafe beziehungsweise eines über die Vertragsstrafe hinausgehenden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Schadens bleibt unbenommen. Eine bereits geleistete Vertragsstrafe wird jedoch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bei Interessenidentität auf einen etwaigen Schadensersatzanspruch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angerechnet.</w:t>
      </w:r>
    </w:p>
    <w:p w14:paraId="2D2C86BE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7EB64912" w14:textId="25141E18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(12) Änderungen oder Ergänzungen dieser Vertraulichkeitserklärung bedürfen zu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 xml:space="preserve">ihrer Gültigkeit der schriftlichen Zustimmung der </w:t>
      </w:r>
      <w:r w:rsidR="00F25DB0">
        <w:rPr>
          <w:rFonts w:ascii="ArialMT" w:hAnsi="ArialMT" w:cs="ArialMT"/>
          <w:kern w:val="0"/>
          <w:sz w:val="22"/>
          <w:szCs w:val="22"/>
        </w:rPr>
        <w:t>Gemeinde</w:t>
      </w:r>
      <w:r>
        <w:rPr>
          <w:rFonts w:ascii="ArialMT" w:hAnsi="ArialMT" w:cs="ArialMT"/>
          <w:kern w:val="0"/>
          <w:sz w:val="22"/>
          <w:szCs w:val="22"/>
        </w:rPr>
        <w:t>. Gleiches gilt für die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Aufhebung dieses Schriftformerfordernisses.</w:t>
      </w:r>
    </w:p>
    <w:p w14:paraId="35F1460D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04C4598D" w14:textId="4A1F12BE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(13) Sollten einzelne Bestimmungen dieser Vertraulichkeitserklärung gegen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zwingende gesetzliche Vorschriften verstoßen oder aus sonstigem Grunde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unwirksam sein oder werden, so bleiben die übrigen Bestimmungen davon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kern w:val="0"/>
          <w:sz w:val="22"/>
          <w:szCs w:val="22"/>
        </w:rPr>
        <w:t>unberührt.</w:t>
      </w:r>
    </w:p>
    <w:p w14:paraId="2C0EBBD4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1749E3E2" w14:textId="15C7841F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(14) Gerichtsstand für alle Streitigkeiten aus dieser Vertraulichkeitserklärung ist</w:t>
      </w:r>
      <w:r w:rsidR="0059497D">
        <w:rPr>
          <w:rFonts w:ascii="ArialMT" w:hAnsi="ArialMT" w:cs="ArialMT"/>
          <w:kern w:val="0"/>
          <w:sz w:val="22"/>
          <w:szCs w:val="22"/>
        </w:rPr>
        <w:t xml:space="preserve"> </w:t>
      </w:r>
      <w:r w:rsidR="00F25DB0">
        <w:rPr>
          <w:rFonts w:ascii="ArialMT" w:hAnsi="ArialMT" w:cs="ArialMT"/>
          <w:kern w:val="0"/>
          <w:sz w:val="22"/>
          <w:szCs w:val="22"/>
        </w:rPr>
        <w:t>Zell a. Main</w:t>
      </w:r>
      <w:r>
        <w:rPr>
          <w:rFonts w:ascii="ArialMT" w:hAnsi="ArialMT" w:cs="ArialMT"/>
          <w:kern w:val="0"/>
          <w:sz w:val="22"/>
          <w:szCs w:val="22"/>
        </w:rPr>
        <w:t>.</w:t>
      </w:r>
    </w:p>
    <w:p w14:paraId="1FDCB708" w14:textId="77777777" w:rsidR="00F25DB0" w:rsidRDefault="00F25DB0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68BCFC82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08B80E93" w14:textId="77777777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Ort, Datum</w:t>
      </w:r>
    </w:p>
    <w:p w14:paraId="0A302B76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1813DD18" w14:textId="77777777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………………………………………………………….</w:t>
      </w:r>
    </w:p>
    <w:p w14:paraId="4D15A454" w14:textId="77777777" w:rsidR="00A3785E" w:rsidRDefault="00A3785E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Name und Unterschrift des Unternehmens</w:t>
      </w:r>
    </w:p>
    <w:p w14:paraId="1D6E3110" w14:textId="77777777" w:rsidR="0059497D" w:rsidRDefault="0059497D" w:rsidP="00F25DB0">
      <w:pPr>
        <w:autoSpaceDE w:val="0"/>
        <w:autoSpaceDN w:val="0"/>
        <w:adjustRightInd w:val="0"/>
        <w:spacing w:line="360" w:lineRule="auto"/>
        <w:rPr>
          <w:rFonts w:ascii="ArialMT" w:hAnsi="ArialMT" w:cs="ArialMT"/>
          <w:kern w:val="0"/>
          <w:sz w:val="22"/>
          <w:szCs w:val="22"/>
        </w:rPr>
      </w:pPr>
    </w:p>
    <w:p w14:paraId="46B4566A" w14:textId="524E16B6" w:rsidR="00A3785E" w:rsidRDefault="00A3785E" w:rsidP="00F25DB0">
      <w:pPr>
        <w:spacing w:line="360" w:lineRule="auto"/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…………………………………………………………..</w:t>
      </w:r>
    </w:p>
    <w:sectPr w:rsidR="00A3785E" w:rsidSect="00E729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5E"/>
    <w:rsid w:val="000054A3"/>
    <w:rsid w:val="000130CC"/>
    <w:rsid w:val="00030996"/>
    <w:rsid w:val="00047B69"/>
    <w:rsid w:val="00084903"/>
    <w:rsid w:val="000B2015"/>
    <w:rsid w:val="000B2883"/>
    <w:rsid w:val="000F6C38"/>
    <w:rsid w:val="0010657E"/>
    <w:rsid w:val="00135297"/>
    <w:rsid w:val="001C46B4"/>
    <w:rsid w:val="001D563B"/>
    <w:rsid w:val="002274BB"/>
    <w:rsid w:val="00236B30"/>
    <w:rsid w:val="0023730A"/>
    <w:rsid w:val="00240A41"/>
    <w:rsid w:val="002520FC"/>
    <w:rsid w:val="002B1201"/>
    <w:rsid w:val="002B6637"/>
    <w:rsid w:val="002D2008"/>
    <w:rsid w:val="002E1CF4"/>
    <w:rsid w:val="003013E8"/>
    <w:rsid w:val="00302457"/>
    <w:rsid w:val="00304ACE"/>
    <w:rsid w:val="00341AC5"/>
    <w:rsid w:val="00341F68"/>
    <w:rsid w:val="003517C0"/>
    <w:rsid w:val="00374327"/>
    <w:rsid w:val="003A110D"/>
    <w:rsid w:val="003C1E2E"/>
    <w:rsid w:val="003F3833"/>
    <w:rsid w:val="003F6827"/>
    <w:rsid w:val="00421B52"/>
    <w:rsid w:val="00431E00"/>
    <w:rsid w:val="004804F6"/>
    <w:rsid w:val="004B548B"/>
    <w:rsid w:val="00500EBD"/>
    <w:rsid w:val="00506C6C"/>
    <w:rsid w:val="00546022"/>
    <w:rsid w:val="00577CA5"/>
    <w:rsid w:val="0059497D"/>
    <w:rsid w:val="005969CE"/>
    <w:rsid w:val="005B56B4"/>
    <w:rsid w:val="005B570D"/>
    <w:rsid w:val="00600695"/>
    <w:rsid w:val="00607F1B"/>
    <w:rsid w:val="00611699"/>
    <w:rsid w:val="00641571"/>
    <w:rsid w:val="00647AE7"/>
    <w:rsid w:val="0066078B"/>
    <w:rsid w:val="006A177A"/>
    <w:rsid w:val="006C0C66"/>
    <w:rsid w:val="006D46BC"/>
    <w:rsid w:val="006F2B26"/>
    <w:rsid w:val="006F4420"/>
    <w:rsid w:val="007012DA"/>
    <w:rsid w:val="007047C5"/>
    <w:rsid w:val="007409F5"/>
    <w:rsid w:val="007466DD"/>
    <w:rsid w:val="00776DE5"/>
    <w:rsid w:val="007A134C"/>
    <w:rsid w:val="007C5200"/>
    <w:rsid w:val="0080646A"/>
    <w:rsid w:val="00813520"/>
    <w:rsid w:val="00837808"/>
    <w:rsid w:val="0085499F"/>
    <w:rsid w:val="008771ED"/>
    <w:rsid w:val="008847AD"/>
    <w:rsid w:val="008C5088"/>
    <w:rsid w:val="008D27DD"/>
    <w:rsid w:val="00901FAB"/>
    <w:rsid w:val="00905984"/>
    <w:rsid w:val="00914EB3"/>
    <w:rsid w:val="009415A1"/>
    <w:rsid w:val="0096739C"/>
    <w:rsid w:val="00977930"/>
    <w:rsid w:val="0098556A"/>
    <w:rsid w:val="00996ADB"/>
    <w:rsid w:val="009A43BA"/>
    <w:rsid w:val="009F0F00"/>
    <w:rsid w:val="009F2284"/>
    <w:rsid w:val="00A064AF"/>
    <w:rsid w:val="00A32192"/>
    <w:rsid w:val="00A3785E"/>
    <w:rsid w:val="00A505E3"/>
    <w:rsid w:val="00A60212"/>
    <w:rsid w:val="00A77BFB"/>
    <w:rsid w:val="00A81333"/>
    <w:rsid w:val="00A9560A"/>
    <w:rsid w:val="00AB579F"/>
    <w:rsid w:val="00AD5F46"/>
    <w:rsid w:val="00B62073"/>
    <w:rsid w:val="00B76844"/>
    <w:rsid w:val="00BA7721"/>
    <w:rsid w:val="00BB4E3A"/>
    <w:rsid w:val="00BB4EA0"/>
    <w:rsid w:val="00C206D6"/>
    <w:rsid w:val="00C20CC7"/>
    <w:rsid w:val="00C562D1"/>
    <w:rsid w:val="00C74305"/>
    <w:rsid w:val="00CF700D"/>
    <w:rsid w:val="00D2047C"/>
    <w:rsid w:val="00D20B04"/>
    <w:rsid w:val="00D23B41"/>
    <w:rsid w:val="00D52DF6"/>
    <w:rsid w:val="00D635C7"/>
    <w:rsid w:val="00DB5381"/>
    <w:rsid w:val="00DC4E23"/>
    <w:rsid w:val="00DD72B7"/>
    <w:rsid w:val="00E03DA4"/>
    <w:rsid w:val="00E137C4"/>
    <w:rsid w:val="00E26E4D"/>
    <w:rsid w:val="00E5798B"/>
    <w:rsid w:val="00E63C90"/>
    <w:rsid w:val="00E65F19"/>
    <w:rsid w:val="00E72906"/>
    <w:rsid w:val="00EC1FF0"/>
    <w:rsid w:val="00EC209D"/>
    <w:rsid w:val="00F25DB0"/>
    <w:rsid w:val="00F31A91"/>
    <w:rsid w:val="00F340A3"/>
    <w:rsid w:val="00F41D74"/>
    <w:rsid w:val="00F65EEB"/>
    <w:rsid w:val="00F73850"/>
    <w:rsid w:val="00F93A1D"/>
    <w:rsid w:val="00FB08AA"/>
    <w:rsid w:val="00FB0B64"/>
    <w:rsid w:val="00FD5A03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7354D"/>
  <w15:chartTrackingRefBased/>
  <w15:docId w15:val="{407042C5-D1A8-4495-9F53-55AFA45C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729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3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3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37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37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A37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378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A378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A378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A378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78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A378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A3785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A3785E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A3785E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A3785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A3785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A3785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A3785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A37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3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A378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A378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85E"/>
    <w:rPr>
      <w:i/>
      <w:iCs/>
      <w:color w:val="404040" w:themeColor="text1" w:themeTint="BF"/>
      <w:sz w:val="24"/>
      <w:szCs w:val="24"/>
    </w:rPr>
  </w:style>
  <w:style w:type="paragraph" w:styleId="Listenabsatz">
    <w:name w:val="List Paragraph"/>
    <w:basedOn w:val="Standard"/>
    <w:uiPriority w:val="34"/>
    <w:qFormat/>
    <w:rsid w:val="00A378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85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8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85E"/>
    <w:rPr>
      <w:i/>
      <w:iCs/>
      <w:color w:val="365F91" w:themeColor="accent1" w:themeShade="BF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A378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5ABB-56CB-479F-932D-098D5FBB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Öder</dc:creator>
  <cp:keywords/>
  <dc:description/>
  <cp:lastModifiedBy>Christian Öder</cp:lastModifiedBy>
  <cp:revision>2</cp:revision>
  <dcterms:created xsi:type="dcterms:W3CDTF">2026-06-30T09:43:00Z</dcterms:created>
  <dcterms:modified xsi:type="dcterms:W3CDTF">2026-06-30T09:43:00Z</dcterms:modified>
</cp:coreProperties>
</file>